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7B6D5C" w:rsidRPr="007B6D5C" w:rsidRDefault="007B6D5C" w:rsidP="007B6D5C">
      <w:pPr>
        <w:widowControl/>
        <w:shd w:val="clear" w:color="auto" w:fill="FFFFFF"/>
        <w:ind w:left="1200"/>
        <w:outlineLvl w:val="1"/>
        <w:rPr>
          <w:rFonts w:ascii="Arial" w:eastAsia="新細明體" w:hAnsi="Arial" w:cs="Arial"/>
          <w:color w:val="666600"/>
          <w:kern w:val="0"/>
          <w:sz w:val="36"/>
          <w:szCs w:val="36"/>
        </w:rPr>
      </w:pPr>
      <w:r w:rsidRPr="007B6D5C">
        <w:rPr>
          <w:rFonts w:ascii="Arial" w:eastAsia="新細明體" w:hAnsi="Arial" w:cs="Arial"/>
          <w:color w:val="666600"/>
          <w:kern w:val="0"/>
          <w:sz w:val="36"/>
          <w:szCs w:val="36"/>
        </w:rPr>
        <w:fldChar w:fldCharType="begin"/>
      </w:r>
      <w:r w:rsidRPr="007B6D5C">
        <w:rPr>
          <w:rFonts w:ascii="Arial" w:eastAsia="新細明體" w:hAnsi="Arial" w:cs="Arial"/>
          <w:color w:val="666600"/>
          <w:kern w:val="0"/>
          <w:sz w:val="36"/>
          <w:szCs w:val="36"/>
        </w:rPr>
        <w:instrText xml:space="preserve"> HYPERLINK "https://thwu2758.pixnet.net/blog/post/456691637" </w:instrText>
      </w:r>
      <w:r w:rsidRPr="007B6D5C">
        <w:rPr>
          <w:rFonts w:ascii="Arial" w:eastAsia="新細明體" w:hAnsi="Arial" w:cs="Arial"/>
          <w:color w:val="666600"/>
          <w:kern w:val="0"/>
          <w:sz w:val="36"/>
          <w:szCs w:val="36"/>
        </w:rPr>
        <w:fldChar w:fldCharType="separate"/>
      </w:r>
      <w:r w:rsidRPr="007B6D5C">
        <w:rPr>
          <w:rFonts w:ascii="Arial" w:eastAsia="新細明體" w:hAnsi="Arial" w:cs="Arial"/>
          <w:b/>
          <w:bCs/>
          <w:color w:val="669999"/>
          <w:kern w:val="0"/>
          <w:szCs w:val="24"/>
          <w:u w:val="single"/>
        </w:rPr>
        <w:t>捐款與愛心跨越國界</w:t>
      </w:r>
      <w:r w:rsidRPr="007B6D5C">
        <w:rPr>
          <w:rFonts w:ascii="Arial" w:eastAsia="新細明體" w:hAnsi="Arial" w:cs="Arial"/>
          <w:color w:val="666600"/>
          <w:kern w:val="0"/>
          <w:sz w:val="36"/>
          <w:szCs w:val="36"/>
        </w:rPr>
        <w:fldChar w:fldCharType="end"/>
      </w:r>
      <w:bookmarkEnd w:id="0"/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空軍松山指揮部在今年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8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月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29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日向屏東啟智協進會訂購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1,900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個月餅，卻在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9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月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8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日改為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900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個，協進會社工一時心急，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對於憨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兒們的努力感到不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捨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，在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個人臉書上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寫了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訂購者減訂過半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月餅的事。消息傳出後，立刻引發各界來電，表示願意訂購月餅。包括國防部心戰大隊、空軍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439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聯隊、屏東縣府教育處，以及其他愛心人士，在三小時內就將月餅訂購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一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空。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由這件事來看，許多台灣人都充滿了愛心，很樂意幫助弱勢族群。不少弱勢團體因經營得法，頗能博得民眾善心的支持，例如喜憨兒製作的糕餅，多年來已贏得許多民眾及團體的支持；另外像是伊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甸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和第一社會福利事業基金會，都在社會和民眾大力支持下，發展出成功的社會企業。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台灣人不僅資助國內力弱勢者，在捐款救災方面也表現得極為突出，甚至對國外災難救濟也很踴躍。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1999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年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921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地震，民眾就捐了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315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億。中國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四川汶川大地震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，台灣民間就捐了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50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億。日本東北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311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大地震，台灣人捐了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58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億。對日本和中國四川震災捐款上都是世界第一，台灣人的愛心顯然是跨越國界的。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為什麼台灣人對災難救濟捐款非常熱心，甚至對國外發生災難地區也都熱烈捐助支持？就社會制度面來說，災難發生後，雖然各級政府多會積極投入救災濟困的工作，但是政府制度，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或者說是官僚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體系，在運作上常常會產生效能不足的狀況，民間力量就常常補政府不足，更快更有效率地投入緊急救災的行動。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其間，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制度性的民間救濟組織，如台灣幾個佛教團體，以慈濟為首，極有組織效率地挺進災難地區，立即提供救難救急的工作。而更值得注意的是，一般民眾多在第一時間就快速提供物質與金錢，支持救難救急工作的有效進行。民間這種自動自發的集體動員救災行為，似乎就是一個風潮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lastRenderedPageBreak/>
        <w:t>雖然，看來台灣人的愛心和熱烈捐款是跨越國界的，但是仔細觀察，台灣人也好像只對日本和中國災難捐款極為熱心，並沒有對其他國家的災難捐出巨額款項。就有人指稱，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2013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年菲律賓遭受海燕颱風重創，政府捐了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20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萬美元，網民還質疑為何要捐款。海燕颱風近千萬人受災，死亡人數破萬，台灣人卻沒捐款資助。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為什麼台灣人熱衷捐款給日本人和中國四川人？台灣和日本在</w:t>
      </w:r>
      <w:proofErr w:type="gramStart"/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1970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年代後就沒有正式外交關係，但是臺灣和日本仍然維持強大的民間交往關係，不只是經濟上的，在文化社會方面也有密切的往來和互動，無論是個人，或者是民間組織，其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交流均很頻繁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ind w:firstLine="480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許多台灣人和日本人都因五十年日本殖民統治，雙方文化長期性的互動性影響，一直維持良好的關係。在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2011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年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311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災後，日本政府正式向捐助國致謝，雖然台灣人捐款居首，卻因台日無正式外交關係，並未向台灣致謝。但是迫於情勢，日本首相在稍後單獨向台灣公開表示謝意。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       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至於台灣與中國的關係應是在文化方面，尤其是在三國歷史故事和唐宋詩詞藝術上，絕大多數的台灣人都深受影響，但若說因此台灣人和四川有很深的感情，恐怕是言過其實了。也許有部分外省人參與抗戰曾長居四川，對四川有深厚的感情，但那畢竟是極少數人。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或說是因為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深受李白、杜甫乃至蘇東波詩詞文學影響，就去捐助四川，都不具有說服力。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       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在這些熱心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捐款濟難的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人當中，應該有不少就是有良善的愛心，樂意幫助受難者，不論是那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國那族的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人受難，他們都願意積極去幫助。台灣也有許多人真的很喜歡日本及日本人，看到日本人有難，他們就會想去幫助，最簡捷的方法就是捐款。相對的，台灣也有一些人很愛中國文化和中國人，甚至還認同中國，他們在四川人有難時，自然就踴躍捐獻。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        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實際上，媒體和政府對民眾是否熱心捐助救災濟困，有非常大的導引作用。在日本</w:t>
      </w:r>
      <w:r w:rsidRPr="007B6D5C"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  <w:t>311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大地震和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中國汶川大地震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 w:val="23"/>
          <w:szCs w:val="23"/>
        </w:rPr>
        <w:t>造成重大災難時，各類媒體都日以繼夜地報導災區狀況，甚至主動推動募款。政府部門也贊助乃至推動捐助。對菲律賓和與台灣距離很遠的國家，政府和媒體都反應冷淡，頂多官式地表示關切，民間沒有被鼓動投入愛心捐獻救助！</w:t>
      </w:r>
    </w:p>
    <w:p w:rsidR="007B6D5C" w:rsidRPr="007B6D5C" w:rsidRDefault="007B6D5C" w:rsidP="007B6D5C">
      <w:pPr>
        <w:widowControl/>
        <w:shd w:val="clear" w:color="auto" w:fill="FFFFFF"/>
        <w:spacing w:after="240" w:line="383" w:lineRule="atLeast"/>
        <w:rPr>
          <w:rFonts w:ascii="Arial" w:eastAsia="新細明體" w:hAnsi="Arial" w:cs="Arial"/>
          <w:color w:val="5D5D5D"/>
          <w:spacing w:val="24"/>
          <w:kern w:val="0"/>
          <w:sz w:val="23"/>
          <w:szCs w:val="23"/>
        </w:rPr>
      </w:pPr>
      <w:r w:rsidRPr="007B6D5C">
        <w:rPr>
          <w:rFonts w:ascii="Calibri" w:eastAsia="新細明體" w:hAnsi="Calibri" w:cs="Calibri"/>
          <w:color w:val="5D5D5D"/>
          <w:spacing w:val="24"/>
          <w:kern w:val="0"/>
          <w:szCs w:val="24"/>
        </w:rPr>
        <w:t>        </w:t>
      </w:r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Cs w:val="24"/>
        </w:rPr>
        <w:t>若是真正有愛心，捐助對象應該是跨越國界的。台灣人</w:t>
      </w:r>
      <w:proofErr w:type="gramStart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Cs w:val="24"/>
        </w:rPr>
        <w:t>不</w:t>
      </w:r>
      <w:proofErr w:type="gramEnd"/>
      <w:r w:rsidRPr="007B6D5C">
        <w:rPr>
          <w:rFonts w:ascii="新細明體" w:eastAsia="新細明體" w:hAnsi="新細明體" w:cs="Arial" w:hint="eastAsia"/>
          <w:color w:val="5D5D5D"/>
          <w:spacing w:val="24"/>
          <w:kern w:val="0"/>
          <w:szCs w:val="24"/>
        </w:rPr>
        <w:t>只要熱心捐助日本人、四川人，也要積極地捐助菲律賓人，以及其他受災極為嚴重的地區。</w:t>
      </w:r>
    </w:p>
    <w:p w:rsidR="00E60340" w:rsidRPr="007B6D5C" w:rsidRDefault="00E60340"/>
    <w:sectPr w:rsidR="00E60340" w:rsidRPr="007B6D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97D40"/>
    <w:multiLevelType w:val="multilevel"/>
    <w:tmpl w:val="A4B8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5C"/>
    <w:rsid w:val="007B6D5C"/>
    <w:rsid w:val="00E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DF0AE"/>
  <w15:chartTrackingRefBased/>
  <w15:docId w15:val="{574C478E-502D-4B26-AEE9-B13E822C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5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28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1</cp:revision>
  <dcterms:created xsi:type="dcterms:W3CDTF">2023-04-21T00:59:00Z</dcterms:created>
  <dcterms:modified xsi:type="dcterms:W3CDTF">2023-04-21T01:01:00Z</dcterms:modified>
</cp:coreProperties>
</file>